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tabs>
          <w:tab w:val="left" w:pos="1276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33"/>
        <w:jc w:val="right"/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</w:p>
    <w:p>
      <w:pPr>
        <w:pStyle w:val="733"/>
        <w:jc w:val="right"/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 №________ </w:t>
      </w:r>
      <w:r>
        <w:rPr>
          <w:sz w:val="22"/>
          <w:szCs w:val="22"/>
        </w:rPr>
      </w:r>
    </w:p>
    <w:p>
      <w:pPr>
        <w:pStyle w:val="733"/>
        <w:jc w:val="right"/>
        <w:spacing w:after="0"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от «____» __________ 202</w:t>
      </w:r>
      <w:r>
        <w:rPr>
          <w:sz w:val="22"/>
          <w:szCs w:val="22"/>
        </w:rPr>
        <w:t xml:space="preserve">6</w:t>
      </w:r>
      <w:r>
        <w:rPr>
          <w:sz w:val="22"/>
          <w:szCs w:val="22"/>
        </w:rPr>
        <w:t xml:space="preserve">г.</w:t>
      </w:r>
      <w:r>
        <w:rPr>
          <w:sz w:val="22"/>
          <w:szCs w:val="22"/>
        </w:rPr>
      </w:r>
    </w:p>
    <w:p>
      <w:pPr>
        <w:pStyle w:val="733"/>
        <w:jc w:val="right"/>
        <w:spacing w:after="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right="-24" w:firstLine="709"/>
        <w:jc w:val="right"/>
        <w:tabs>
          <w:tab w:val="left" w:pos="720" w:leader="none"/>
          <w:tab w:val="left" w:pos="1276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5100" w:leader="none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right="-24" w:firstLine="709"/>
        <w:jc w:val="center"/>
        <w:tabs>
          <w:tab w:val="left" w:pos="720" w:leader="none"/>
          <w:tab w:val="left" w:pos="1276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5100" w:leader="none"/>
        </w:tabs>
        <w:rPr>
          <w:b/>
          <w:bCs/>
        </w:rPr>
      </w:pPr>
      <w:r>
        <w:rPr>
          <w:b/>
          <w:bCs/>
        </w:rPr>
        <w:t xml:space="preserve">План - г</w:t>
      </w:r>
      <w:r>
        <w:rPr>
          <w:b/>
          <w:bCs/>
        </w:rPr>
        <w:t xml:space="preserve">рафик выполнения работ</w:t>
      </w:r>
      <w:r>
        <w:rPr>
          <w:b/>
          <w:bCs/>
        </w:rPr>
      </w:r>
    </w:p>
    <w:p>
      <w:pPr>
        <w:ind w:right="-24" w:firstLine="709"/>
        <w:jc w:val="center"/>
        <w:tabs>
          <w:tab w:val="left" w:pos="720" w:leader="none"/>
          <w:tab w:val="left" w:pos="1276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5100" w:leader="none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jc w:val="center"/>
        <w:rPr>
          <w:rFonts w:cs="Calibri"/>
          <w:sz w:val="20"/>
          <w:szCs w:val="20"/>
          <w:lang w:eastAsia="ar-SA"/>
        </w:rPr>
      </w:pPr>
      <w:r>
        <w:rPr>
          <w:rFonts w:cs="Calibri"/>
          <w:color w:val="000000"/>
          <w:sz w:val="20"/>
          <w:szCs w:val="20"/>
          <w:lang w:eastAsia="ar-SA"/>
        </w:rPr>
        <w:t xml:space="preserve">«</w:t>
      </w:r>
      <w:r>
        <w:rPr>
          <w:rFonts w:cs="Calibri"/>
          <w:color w:val="000000"/>
          <w:sz w:val="20"/>
          <w:szCs w:val="20"/>
          <w:lang w:eastAsia="ar-SA"/>
        </w:rPr>
        <w:t xml:space="preserve">Выполнение</w:t>
      </w:r>
      <w:r>
        <w:rPr>
          <w:rFonts w:cs="Calibri"/>
          <w:sz w:val="20"/>
          <w:szCs w:val="20"/>
          <w:lang w:eastAsia="ar-SA"/>
        </w:rPr>
        <w:t xml:space="preserve"> проектно-изыскательских и строительно-монтажных работ </w:t>
      </w:r>
      <w:r>
        <w:rPr>
          <w:rFonts w:cs="Calibri"/>
          <w:sz w:val="20"/>
          <w:szCs w:val="20"/>
          <w:lang w:eastAsia="ar-SA"/>
        </w:rPr>
      </w:r>
    </w:p>
    <w:p>
      <w:pPr>
        <w:jc w:val="center"/>
        <w:rPr>
          <w:rFonts w:cs="Calibri"/>
          <w:sz w:val="20"/>
          <w:szCs w:val="20"/>
          <w:lang w:eastAsia="ar-SA"/>
        </w:rPr>
      </w:pPr>
      <w:r>
        <w:rPr>
          <w:rFonts w:cs="Calibri"/>
          <w:sz w:val="20"/>
          <w:szCs w:val="20"/>
          <w:lang w:eastAsia="ar-SA"/>
        </w:rPr>
        <w:t xml:space="preserve">(методом «под ключ») для </w:t>
      </w:r>
      <w:r>
        <w:rPr>
          <w:color w:val="000000"/>
          <w:sz w:val="20"/>
          <w:szCs w:val="20"/>
        </w:rPr>
        <w:t xml:space="preserve">строительства кабельн</w:t>
      </w:r>
      <w:r>
        <w:rPr>
          <w:color w:val="000000"/>
          <w:sz w:val="20"/>
          <w:szCs w:val="20"/>
        </w:rPr>
        <w:t xml:space="preserve">ой</w:t>
      </w:r>
      <w:r>
        <w:rPr>
          <w:color w:val="000000"/>
          <w:sz w:val="20"/>
          <w:szCs w:val="20"/>
        </w:rPr>
        <w:t xml:space="preserve"> ЛЭП-0,4 </w:t>
      </w:r>
      <w:r>
        <w:rPr>
          <w:color w:val="000000"/>
          <w:sz w:val="20"/>
          <w:szCs w:val="20"/>
        </w:rPr>
        <w:t xml:space="preserve">кВ</w:t>
      </w:r>
      <w:r>
        <w:rPr>
          <w:color w:val="000000"/>
          <w:sz w:val="20"/>
          <w:szCs w:val="20"/>
        </w:rPr>
        <w:t xml:space="preserve"> </w:t>
      </w:r>
      <w:r>
        <w:rPr>
          <w:rFonts w:cs="Calibri"/>
          <w:sz w:val="20"/>
          <w:szCs w:val="20"/>
          <w:lang w:eastAsia="ar-SA"/>
        </w:rPr>
        <w:t xml:space="preserve">в целях осуществления </w:t>
      </w:r>
      <w:r>
        <w:rPr>
          <w:rFonts w:cs="Calibri"/>
          <w:sz w:val="20"/>
          <w:szCs w:val="20"/>
          <w:lang w:eastAsia="ar-SA"/>
        </w:rPr>
      </w:r>
    </w:p>
    <w:p>
      <w:pP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технологического присоединения энергопринимающих устройств заявителя – </w:t>
      </w:r>
      <w:r>
        <w:rPr>
          <w:rFonts w:cs="Calibri"/>
          <w:color w:val="000000"/>
          <w:sz w:val="20"/>
          <w:szCs w:val="20"/>
          <w:lang w:eastAsia="ar-SA"/>
        </w:rPr>
        <w:t xml:space="preserve">«Нежилое здание, расположенное на земельном участке по адресу: Новосибирская обл., </w:t>
      </w:r>
      <w:r>
        <w:rPr>
          <w:rFonts w:cs="Calibri"/>
          <w:color w:val="000000"/>
          <w:sz w:val="20"/>
          <w:szCs w:val="20"/>
          <w:lang w:eastAsia="ar-SA"/>
        </w:rPr>
        <w:t xml:space="preserve">г.Новосибирск</w:t>
      </w:r>
      <w:r>
        <w:rPr>
          <w:rFonts w:cs="Calibri"/>
          <w:color w:val="000000"/>
          <w:sz w:val="20"/>
          <w:szCs w:val="20"/>
          <w:lang w:eastAsia="ar-SA"/>
        </w:rPr>
        <w:t xml:space="preserve">, ул. Эстафетная, дом 9 (кадастровый номер земельного участка: 54:35:064350:13)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</w:r>
    </w:p>
    <w:p>
      <w:pPr>
        <w:jc w:val="center"/>
        <w:rPr>
          <w:sz w:val="20"/>
          <w:szCs w:val="20"/>
        </w:rPr>
      </w:pPr>
      <w:r>
        <w:rPr>
          <w:rFonts w:cs="Calibri"/>
          <w:sz w:val="20"/>
          <w:szCs w:val="20"/>
          <w:lang w:eastAsia="ar-SA"/>
        </w:rPr>
        <w:t xml:space="preserve">для Общества с ограниченной ответственностью «Сибирские электросети»</w:t>
      </w:r>
      <w:r>
        <w:rPr>
          <w:sz w:val="20"/>
          <w:szCs w:val="20"/>
        </w:rPr>
      </w:r>
    </w:p>
    <w:p>
      <w:pPr>
        <w:ind w:right="-24" w:firstLine="709"/>
        <w:jc w:val="right"/>
        <w:tabs>
          <w:tab w:val="left" w:pos="720" w:leader="none"/>
          <w:tab w:val="left" w:pos="1276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5100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tbl>
      <w:tblPr>
        <w:tblW w:w="95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4251"/>
        <w:gridCol w:w="1419"/>
        <w:gridCol w:w="3335"/>
        <w:gridCol w:w="32"/>
      </w:tblGrid>
      <w:tr>
        <w:tblPrEx/>
        <w:trPr>
          <w:gridAfter w:val="1"/>
        </w:trPr>
        <w:tc>
          <w:tcPr>
            <w:tcW w:w="534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п/п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5670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Этапы производства </w:t>
            </w:r>
            <w:r>
              <w:rPr>
                <w:b/>
                <w:bCs/>
                <w:sz w:val="20"/>
                <w:szCs w:val="20"/>
              </w:rPr>
              <w:t xml:space="preserve">работ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335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Срок выполнения работ и передачи готового результата Заказчику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W w:w="534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20"/>
                <w:szCs w:val="20"/>
              </w:rPr>
              <w:t xml:space="preserve">.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5670" w:type="dxa"/>
            <w:vAlign w:val="center"/>
            <w:textDirection w:val="lrTb"/>
            <w:noWrap w:val="false"/>
          </w:tcPr>
          <w:p>
            <w:pPr>
              <w:ind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Изыскательские работы, разработка, согласование и утверждение проектной документации электроснабжения объекта 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«Нежилое здание, расположенное на земельном участке по адресу: Новосибирская обл., 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г.Новосибирск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, ул. Эстафетная, дом 9 (кадастровый номер земельного участка: 54:35:064350:13)»</w:t>
            </w:r>
            <w:r>
              <w:rPr>
                <w:color w:val="000000"/>
                <w:sz w:val="20"/>
                <w:szCs w:val="20"/>
              </w:rPr>
              <w:t xml:space="preserve"> раздел «Кабельные линии 0,4 </w:t>
            </w:r>
            <w:r>
              <w:rPr>
                <w:color w:val="000000"/>
                <w:sz w:val="20"/>
                <w:szCs w:val="20"/>
              </w:rPr>
              <w:t xml:space="preserve">кВ</w:t>
            </w:r>
            <w:r>
              <w:rPr>
                <w:color w:val="000000"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3335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 </w:t>
            </w:r>
            <w:r>
              <w:rPr>
                <w:b/>
                <w:bCs/>
                <w:sz w:val="20"/>
                <w:szCs w:val="20"/>
              </w:rPr>
              <w:t xml:space="preserve">30</w:t>
            </w:r>
            <w:r>
              <w:rPr>
                <w:b/>
                <w:bCs/>
                <w:sz w:val="20"/>
                <w:szCs w:val="20"/>
              </w:rPr>
              <w:t xml:space="preserve">.</w:t>
            </w:r>
            <w:r>
              <w:rPr>
                <w:b/>
                <w:bCs/>
                <w:sz w:val="20"/>
                <w:szCs w:val="20"/>
              </w:rPr>
              <w:t xml:space="preserve">06</w:t>
            </w:r>
            <w:r>
              <w:rPr>
                <w:b/>
                <w:bCs/>
                <w:sz w:val="20"/>
                <w:szCs w:val="20"/>
              </w:rPr>
              <w:t xml:space="preserve">.202</w:t>
            </w: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  <w:t xml:space="preserve">г.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W w:w="534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</w:t>
            </w:r>
            <w:r>
              <w:rPr>
                <w:b/>
                <w:bCs/>
                <w:sz w:val="20"/>
                <w:szCs w:val="20"/>
              </w:rPr>
              <w:t xml:space="preserve">.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5670" w:type="dxa"/>
            <w:vAlign w:val="center"/>
            <w:textDirection w:val="lrTb"/>
            <w:noWrap w:val="false"/>
          </w:tcPr>
          <w:p>
            <w:pPr>
              <w:ind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Строительно-монтажные работы:</w:t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ind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>
              <w:rPr>
                <w:color w:val="000000"/>
                <w:sz w:val="20"/>
                <w:szCs w:val="20"/>
              </w:rPr>
              <w:t xml:space="preserve">одной кабельной ЛЭП-0,4 </w:t>
            </w:r>
            <w:r>
              <w:rPr>
                <w:color w:val="000000"/>
                <w:sz w:val="20"/>
                <w:szCs w:val="20"/>
              </w:rPr>
              <w:t xml:space="preserve">кВ</w:t>
            </w:r>
            <w:r>
              <w:rPr>
                <w:color w:val="000000"/>
                <w:sz w:val="20"/>
                <w:szCs w:val="20"/>
              </w:rPr>
              <w:t xml:space="preserve">, в траншеях и прокладываемые методом горизонтального наклонного бурения, многожильные с пластмассовой изоляцией сечением провода от 35 до 50 мм2 включительно в сторону ТП-5401</w:t>
            </w:r>
            <w:r>
              <w:rPr>
                <w:color w:val="000000"/>
                <w:sz w:val="20"/>
                <w:szCs w:val="20"/>
              </w:rPr>
              <w:t xml:space="preserve">.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35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 </w:t>
            </w:r>
            <w:r>
              <w:rPr>
                <w:b/>
                <w:bCs/>
                <w:sz w:val="20"/>
                <w:szCs w:val="20"/>
              </w:rPr>
              <w:t xml:space="preserve">2</w:t>
            </w:r>
            <w:r>
              <w:rPr>
                <w:b/>
                <w:bCs/>
                <w:sz w:val="20"/>
                <w:szCs w:val="20"/>
              </w:rPr>
              <w:t xml:space="preserve">7</w:t>
            </w:r>
            <w:r>
              <w:rPr>
                <w:b/>
                <w:bCs/>
                <w:sz w:val="20"/>
                <w:szCs w:val="20"/>
              </w:rPr>
              <w:t xml:space="preserve">.</w:t>
            </w:r>
            <w:r>
              <w:rPr>
                <w:b/>
                <w:bCs/>
                <w:sz w:val="20"/>
                <w:szCs w:val="20"/>
              </w:rPr>
              <w:t xml:space="preserve">07</w:t>
            </w:r>
            <w:r>
              <w:rPr>
                <w:b/>
                <w:bCs/>
                <w:sz w:val="20"/>
                <w:szCs w:val="20"/>
              </w:rPr>
              <w:t xml:space="preserve">.202</w:t>
            </w: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  <w:t xml:space="preserve">г.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W w:w="534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</w:t>
            </w:r>
            <w:r>
              <w:rPr>
                <w:b/>
                <w:bCs/>
                <w:sz w:val="20"/>
                <w:szCs w:val="20"/>
              </w:rPr>
              <w:t xml:space="preserve">.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5670" w:type="dxa"/>
            <w:vAlign w:val="center"/>
            <w:textDirection w:val="lrTb"/>
            <w:noWrap w:val="false"/>
          </w:tcPr>
          <w:p>
            <w:pPr>
              <w:ind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Пуско</w:t>
            </w:r>
            <w:r>
              <w:rPr>
                <w:color w:val="000000"/>
                <w:sz w:val="20"/>
                <w:szCs w:val="20"/>
              </w:rPr>
              <w:t xml:space="preserve">-</w:t>
            </w:r>
            <w:r>
              <w:rPr>
                <w:color w:val="000000"/>
                <w:sz w:val="20"/>
                <w:szCs w:val="20"/>
              </w:rPr>
              <w:t xml:space="preserve">наладочные работы</w:t>
            </w:r>
            <w:r>
              <w:rPr>
                <w:color w:val="000000"/>
                <w:sz w:val="20"/>
                <w:szCs w:val="20"/>
              </w:rPr>
              <w:t xml:space="preserve"> и ввод объектов в эксплуатацию</w:t>
            </w:r>
            <w:r>
              <w:rPr>
                <w:color w:val="000000"/>
                <w:sz w:val="20"/>
                <w:szCs w:val="20"/>
              </w:rPr>
              <w:t xml:space="preserve">:</w:t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ind w:left="48" w:right="-24"/>
              <w:jc w:val="both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Кабельные </w:t>
            </w:r>
            <w:r>
              <w:rPr>
                <w:color w:val="000000"/>
                <w:sz w:val="20"/>
                <w:szCs w:val="20"/>
              </w:rPr>
              <w:t xml:space="preserve">ЛЭП-0,4 </w:t>
            </w:r>
            <w:r>
              <w:rPr>
                <w:color w:val="000000"/>
                <w:sz w:val="20"/>
                <w:szCs w:val="20"/>
              </w:rPr>
              <w:t xml:space="preserve">кВ</w:t>
            </w:r>
            <w:r>
              <w:rPr>
                <w:color w:val="000000"/>
                <w:sz w:val="20"/>
                <w:szCs w:val="20"/>
              </w:rPr>
              <w:t xml:space="preserve"> от РУ-0,4 </w:t>
            </w:r>
            <w:r>
              <w:rPr>
                <w:color w:val="000000"/>
                <w:sz w:val="20"/>
                <w:szCs w:val="20"/>
              </w:rPr>
              <w:t xml:space="preserve">кВ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ТП</w:t>
            </w:r>
            <w:r>
              <w:rPr>
                <w:color w:val="000000"/>
                <w:sz w:val="20"/>
                <w:szCs w:val="20"/>
              </w:rPr>
              <w:t xml:space="preserve">-</w:t>
            </w:r>
            <w:r>
              <w:rPr>
                <w:color w:val="000000"/>
                <w:sz w:val="20"/>
                <w:szCs w:val="20"/>
              </w:rPr>
              <w:t xml:space="preserve">5401</w:t>
            </w:r>
            <w:r>
              <w:rPr>
                <w:color w:val="000000"/>
                <w:sz w:val="20"/>
                <w:szCs w:val="20"/>
              </w:rPr>
              <w:t xml:space="preserve"> до ВРУ 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«Нежилое здание, расположенное на земельном участке по адресу: Новосибирская обл., 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г.Новосибирск</w:t>
            </w:r>
            <w:r>
              <w:rPr>
                <w:rFonts w:cs="Calibri"/>
                <w:color w:val="000000"/>
                <w:sz w:val="20"/>
                <w:szCs w:val="20"/>
                <w:lang w:eastAsia="ar-SA"/>
              </w:rPr>
              <w:t xml:space="preserve">, ул. Эстафетная, дом 9 (кадастровый номер земельного участка: 54:35:064350:13)</w:t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35" w:type="dxa"/>
            <w:vAlign w:val="center"/>
            <w:textDirection w:val="lrTb"/>
            <w:noWrap w:val="false"/>
          </w:tcPr>
          <w:p>
            <w:pPr>
              <w:ind w:right="-24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до </w:t>
            </w:r>
            <w:r>
              <w:rPr>
                <w:b/>
                <w:bCs/>
                <w:sz w:val="20"/>
                <w:szCs w:val="20"/>
              </w:rPr>
              <w:t xml:space="preserve">30</w:t>
            </w:r>
            <w:r>
              <w:rPr>
                <w:b/>
                <w:bCs/>
                <w:sz w:val="20"/>
                <w:szCs w:val="20"/>
              </w:rPr>
              <w:t xml:space="preserve">.0</w:t>
            </w:r>
            <w:r>
              <w:rPr>
                <w:b/>
                <w:bCs/>
                <w:sz w:val="20"/>
                <w:szCs w:val="20"/>
              </w:rPr>
              <w:t xml:space="preserve">7</w:t>
            </w:r>
            <w:r>
              <w:rPr>
                <w:b/>
                <w:bCs/>
                <w:sz w:val="20"/>
                <w:szCs w:val="20"/>
              </w:rPr>
              <w:t xml:space="preserve">.202</w:t>
            </w: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  <w:t xml:space="preserve">г.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/>
        <w:tc>
          <w:tcPr>
            <w:gridSpan w:val="2"/>
            <w:tcW w:w="4785" w:type="dxa"/>
            <w:textDirection w:val="lrTb"/>
            <w:noWrap w:val="false"/>
          </w:tcPr>
          <w:p>
            <w:pPr>
              <w:ind w:right="-625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tcW w:w="4786" w:type="dxa"/>
            <w:textDirection w:val="lrTb"/>
            <w:noWrap w:val="false"/>
          </w:tcPr>
          <w:p>
            <w:pPr>
              <w:ind w:right="-625"/>
              <w:jc w:val="center"/>
              <w:tabs>
                <w:tab w:val="left" w:pos="720" w:leader="none"/>
                <w:tab w:val="left" w:pos="1276" w:leader="none"/>
                <w:tab w:val="left" w:pos="1440" w:leader="none"/>
                <w:tab w:val="left" w:pos="2160" w:leader="none"/>
                <w:tab w:val="left" w:pos="2880" w:leader="none"/>
                <w:tab w:val="left" w:pos="3600" w:leader="none"/>
                <w:tab w:val="left" w:pos="510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</w:tbl>
    <w:p>
      <w:pPr>
        <w:ind w:left="-851" w:right="-24" w:firstLine="709"/>
        <w:jc w:val="right"/>
        <w:tabs>
          <w:tab w:val="left" w:pos="720" w:leader="none"/>
          <w:tab w:val="left" w:pos="1276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5100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378" w:right="707" w:bottom="719" w:left="1560" w:header="284" w:footer="73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onsultant">
    <w:panose1 w:val="020B0604030504040204"/>
  </w:font>
  <w:font w:name="Times New Roman">
    <w:panose1 w:val="02020603050405020304"/>
  </w:font>
  <w:font w:name="Courier New">
    <w:panose1 w:val="02070309020205020404"/>
  </w:font>
  <w:font w:name="Cambria">
    <w:panose1 w:val="02040803050406030204"/>
  </w:font>
  <w:font w:name="Wingdings">
    <w:panose1 w:val="0501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7"/>
      <w:jc w:val="both"/>
    </w:pPr>
    <w:r>
      <w:t xml:space="preserve">____________________  Заказчик                                ___________________  Подрядчик 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</w:t>
    </w:r>
    <w:r>
      <w:fldChar w:fldCharType="end"/>
    </w:r>
    <w:r/>
  </w:p>
  <w:p>
    <w:pPr>
      <w:pStyle w:val="73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9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0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rFonts w:hint="default" w:cs="Times New Roman"/>
        <w:b/>
      </w:rPr>
    </w:lvl>
    <w:lvl w:ilvl="2">
      <w:start w:val="1"/>
      <w:numFmt w:val="decimal"/>
      <w:isLgl w:val="false"/>
      <w:suff w:val="tab"/>
      <w:lvlText w:val="%1.3."/>
      <w:lvlJc w:val="left"/>
      <w:pPr>
        <w:ind w:left="1224" w:hanging="504"/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  <w:rPr>
        <w:rFonts w:hint="default"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54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194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94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suff w:val="tab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Calibri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9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2148" w:hanging="360"/>
        <w:tabs>
          <w:tab w:val="num" w:pos="2148" w:leader="none"/>
        </w:tabs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3">
    <w:multiLevelType w:val="hybridMultilevel"/>
    <w:lvl w:ilvl="0">
      <w:start w:val="2"/>
      <w:numFmt w:val="bullet"/>
      <w:isLgl w:val="false"/>
      <w:suff w:val="tab"/>
      <w:lvlText w:val="–"/>
      <w:lvlJc w:val="left"/>
      <w:pPr>
        <w:ind w:left="1080" w:hanging="360"/>
      </w:pPr>
      <w:rPr>
        <w:rFonts w:hint="default" w:ascii="Times New Roman" w:hAnsi="Times New Roman" w:eastAsia="Times New Roman" w:cs="Times New Roman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b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928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rFonts w:hint="default" w:cs="Times New Roman"/>
        <w:b w:val="0"/>
        <w:color w:val="auto"/>
      </w:rPr>
    </w:lvl>
    <w:lvl w:ilvl="2">
      <w:start w:val="2"/>
      <w:numFmt w:val="decimal"/>
      <w:isLgl w:val="false"/>
      <w:suff w:val="tab"/>
      <w:lvlText w:val="%3.%2."/>
      <w:lvlJc w:val="left"/>
      <w:pPr>
        <w:ind w:left="1224" w:hanging="504"/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  <w:rPr>
        <w:rFonts w:hint="default" w:cs="Times New Roman"/>
      </w:rPr>
    </w:lvl>
  </w:abstractNum>
  <w:abstractNum w:abstractNumId="1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8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1"/>
  </w:num>
  <w:num w:numId="5">
    <w:abstractNumId w:val="5"/>
  </w:num>
  <w:num w:numId="6">
    <w:abstractNumId w:val="12"/>
  </w:num>
  <w:num w:numId="7">
    <w:abstractNumId w:val="16"/>
  </w:num>
  <w:num w:numId="8">
    <w:abstractNumId w:val="10"/>
  </w:num>
  <w:num w:numId="9">
    <w:abstractNumId w:val="19"/>
  </w:num>
  <w:num w:numId="10">
    <w:abstractNumId w:val="2"/>
  </w:num>
  <w:num w:numId="11">
    <w:abstractNumId w:val="18"/>
  </w:num>
  <w:num w:numId="12">
    <w:abstractNumId w:val="4"/>
  </w:num>
  <w:num w:numId="13">
    <w:abstractNumId w:val="6"/>
  </w:num>
  <w:num w:numId="14">
    <w:abstractNumId w:val="15"/>
  </w:num>
  <w:num w:numId="15">
    <w:abstractNumId w:val="9"/>
  </w:num>
  <w:num w:numId="16">
    <w:abstractNumId w:val="8"/>
  </w:num>
  <w:num w:numId="17">
    <w:abstractNumId w:val="13"/>
  </w:num>
  <w:num w:numId="18">
    <w:abstractNumId w:val="1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3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728"/>
    <w:link w:val="72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7">
    <w:name w:val="Heading 2 Char"/>
    <w:basedOn w:val="728"/>
    <w:link w:val="726"/>
    <w:uiPriority w:val="9"/>
    <w:rPr>
      <w:rFonts w:ascii="Liberation Sans" w:hAnsi="Liberation Sans" w:eastAsia="Liberation Sans" w:cs="Liberation Sans"/>
      <w:sz w:val="34"/>
    </w:rPr>
  </w:style>
  <w:style w:type="character" w:styleId="19">
    <w:name w:val="Heading 3 Char"/>
    <w:basedOn w:val="728"/>
    <w:link w:val="72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724"/>
    <w:next w:val="724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728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724"/>
    <w:next w:val="724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728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724"/>
    <w:next w:val="724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728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724"/>
    <w:next w:val="724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728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724"/>
    <w:next w:val="724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728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724"/>
    <w:next w:val="724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728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6">
    <w:name w:val="Title Char"/>
    <w:basedOn w:val="728"/>
    <w:link w:val="753"/>
    <w:uiPriority w:val="10"/>
    <w:rPr>
      <w:sz w:val="48"/>
      <w:szCs w:val="48"/>
    </w:rPr>
  </w:style>
  <w:style w:type="paragraph" w:styleId="37">
    <w:name w:val="Subtitle"/>
    <w:basedOn w:val="724"/>
    <w:next w:val="724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728"/>
    <w:link w:val="37"/>
    <w:uiPriority w:val="11"/>
    <w:rPr>
      <w:sz w:val="24"/>
      <w:szCs w:val="24"/>
    </w:rPr>
  </w:style>
  <w:style w:type="paragraph" w:styleId="39">
    <w:name w:val="Quote"/>
    <w:basedOn w:val="724"/>
    <w:next w:val="724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724"/>
    <w:next w:val="724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728"/>
    <w:link w:val="735"/>
    <w:uiPriority w:val="99"/>
  </w:style>
  <w:style w:type="character" w:styleId="46">
    <w:name w:val="Footer Char"/>
    <w:basedOn w:val="728"/>
    <w:link w:val="737"/>
    <w:uiPriority w:val="99"/>
  </w:style>
  <w:style w:type="paragraph" w:styleId="47">
    <w:name w:val="Caption"/>
    <w:basedOn w:val="724"/>
    <w:next w:val="724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728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7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7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7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6">
    <w:name w:val="footnote text"/>
    <w:basedOn w:val="724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728"/>
    <w:uiPriority w:val="99"/>
    <w:unhideWhenUsed/>
    <w:rPr>
      <w:vertAlign w:val="superscript"/>
    </w:rPr>
  </w:style>
  <w:style w:type="paragraph" w:styleId="179">
    <w:name w:val="endnote text"/>
    <w:basedOn w:val="724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728"/>
    <w:uiPriority w:val="99"/>
    <w:semiHidden/>
    <w:unhideWhenUsed/>
    <w:rPr>
      <w:vertAlign w:val="superscript"/>
    </w:rPr>
  </w:style>
  <w:style w:type="paragraph" w:styleId="182">
    <w:name w:val="toc 1"/>
    <w:basedOn w:val="724"/>
    <w:next w:val="724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724"/>
    <w:next w:val="724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724"/>
    <w:next w:val="724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724"/>
    <w:next w:val="724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724"/>
    <w:next w:val="724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724"/>
    <w:next w:val="724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724"/>
    <w:next w:val="724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724"/>
    <w:next w:val="724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724"/>
    <w:next w:val="724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724"/>
    <w:next w:val="724"/>
    <w:uiPriority w:val="99"/>
    <w:unhideWhenUsed/>
    <w:pPr>
      <w:spacing w:after="0" w:afterAutospacing="0"/>
    </w:pPr>
  </w:style>
  <w:style w:type="paragraph" w:styleId="724" w:default="1">
    <w:name w:val="Normal"/>
    <w:qFormat/>
    <w:rPr>
      <w:sz w:val="24"/>
      <w:szCs w:val="24"/>
    </w:rPr>
  </w:style>
  <w:style w:type="paragraph" w:styleId="725">
    <w:name w:val="Heading 1"/>
    <w:basedOn w:val="724"/>
    <w:next w:val="724"/>
    <w:link w:val="743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726">
    <w:name w:val="Heading 2"/>
    <w:basedOn w:val="724"/>
    <w:next w:val="724"/>
    <w:qFormat/>
    <w:pPr>
      <w:jc w:val="center"/>
      <w:keepNext/>
      <w:outlineLvl w:val="1"/>
    </w:pPr>
    <w:rPr>
      <w:b/>
      <w:sz w:val="36"/>
      <w:szCs w:val="20"/>
    </w:rPr>
  </w:style>
  <w:style w:type="paragraph" w:styleId="727">
    <w:name w:val="Heading 3"/>
    <w:basedOn w:val="724"/>
    <w:next w:val="724"/>
    <w:link w:val="755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728" w:default="1">
    <w:name w:val="Default Paragraph Font"/>
    <w:uiPriority w:val="1"/>
    <w:semiHidden/>
    <w:unhideWhenUsed/>
  </w:style>
  <w:style w:type="table" w:styleId="7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0" w:default="1">
    <w:name w:val="No List"/>
    <w:uiPriority w:val="99"/>
    <w:semiHidden/>
    <w:unhideWhenUsed/>
  </w:style>
  <w:style w:type="paragraph" w:styleId="731">
    <w:name w:val="Body Text Indent 2"/>
    <w:basedOn w:val="724"/>
    <w:pPr>
      <w:ind w:left="283"/>
      <w:spacing w:after="120" w:line="480" w:lineRule="auto"/>
    </w:pPr>
  </w:style>
  <w:style w:type="paragraph" w:styleId="732" w:customStyle="1">
    <w:name w:val="ConsDocList"/>
    <w:pPr>
      <w:widowControl w:val="off"/>
    </w:pPr>
    <w:rPr>
      <w:rFonts w:ascii="Courier New" w:hAnsi="Courier New" w:cs="Courier New"/>
      <w:sz w:val="22"/>
      <w:szCs w:val="22"/>
    </w:rPr>
  </w:style>
  <w:style w:type="paragraph" w:styleId="733">
    <w:name w:val="Body Text"/>
    <w:basedOn w:val="724"/>
    <w:pPr>
      <w:spacing w:after="120"/>
    </w:pPr>
    <w:rPr>
      <w:sz w:val="26"/>
      <w:szCs w:val="20"/>
    </w:rPr>
  </w:style>
  <w:style w:type="paragraph" w:styleId="734">
    <w:name w:val="Body Text Indent"/>
    <w:basedOn w:val="724"/>
    <w:pPr>
      <w:ind w:left="283"/>
      <w:spacing w:after="120"/>
    </w:pPr>
  </w:style>
  <w:style w:type="paragraph" w:styleId="735">
    <w:name w:val="Header"/>
    <w:basedOn w:val="724"/>
    <w:link w:val="736"/>
    <w:uiPriority w:val="99"/>
    <w:pPr>
      <w:tabs>
        <w:tab w:val="center" w:pos="4677" w:leader="none"/>
        <w:tab w:val="right" w:pos="9355" w:leader="none"/>
      </w:tabs>
    </w:pPr>
  </w:style>
  <w:style w:type="character" w:styleId="736" w:customStyle="1">
    <w:name w:val="Верхний колонтитул Знак"/>
    <w:link w:val="735"/>
    <w:uiPriority w:val="99"/>
    <w:rPr>
      <w:sz w:val="24"/>
      <w:szCs w:val="24"/>
    </w:rPr>
  </w:style>
  <w:style w:type="paragraph" w:styleId="737">
    <w:name w:val="Footer"/>
    <w:basedOn w:val="724"/>
    <w:link w:val="738"/>
    <w:uiPriority w:val="99"/>
    <w:pPr>
      <w:tabs>
        <w:tab w:val="center" w:pos="4677" w:leader="none"/>
        <w:tab w:val="right" w:pos="9355" w:leader="none"/>
      </w:tabs>
    </w:pPr>
  </w:style>
  <w:style w:type="character" w:styleId="738" w:customStyle="1">
    <w:name w:val="Нижний колонтитул Знак"/>
    <w:link w:val="737"/>
    <w:uiPriority w:val="99"/>
    <w:rPr>
      <w:sz w:val="24"/>
      <w:szCs w:val="24"/>
    </w:rPr>
  </w:style>
  <w:style w:type="paragraph" w:styleId="739" w:customStyle="1">
    <w:name w:val="Style4"/>
    <w:basedOn w:val="724"/>
    <w:uiPriority w:val="99"/>
    <w:pPr>
      <w:jc w:val="both"/>
      <w:spacing w:line="274" w:lineRule="exact"/>
      <w:widowControl w:val="off"/>
    </w:pPr>
  </w:style>
  <w:style w:type="character" w:styleId="740" w:customStyle="1">
    <w:name w:val="Font Style12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741" w:customStyle="1">
    <w:name w:val="ConsNormal"/>
    <w:pPr>
      <w:ind w:firstLine="720"/>
      <w:widowControl w:val="off"/>
    </w:pPr>
    <w:rPr>
      <w:rFonts w:ascii="Arial" w:hAnsi="Arial" w:cs="Arial"/>
    </w:rPr>
  </w:style>
  <w:style w:type="paragraph" w:styleId="742" w:customStyle="1">
    <w:name w:val="ConsNonformat"/>
    <w:pPr>
      <w:widowControl w:val="off"/>
    </w:pPr>
    <w:rPr>
      <w:rFonts w:ascii="Consultant" w:hAnsi="Consultant" w:eastAsia="Arial"/>
      <w:lang w:eastAsia="ar-SA"/>
    </w:rPr>
  </w:style>
  <w:style w:type="character" w:styleId="743" w:customStyle="1">
    <w:name w:val="Заголовок 1 Знак"/>
    <w:link w:val="725"/>
    <w:rPr>
      <w:rFonts w:ascii="Cambria" w:hAnsi="Cambria" w:eastAsia="Times New Roman" w:cs="Times New Roman"/>
      <w:b/>
      <w:bCs/>
      <w:sz w:val="32"/>
      <w:szCs w:val="32"/>
    </w:rPr>
  </w:style>
  <w:style w:type="paragraph" w:styleId="744" w:customStyle="1">
    <w:name w:val="Обычный1"/>
  </w:style>
  <w:style w:type="paragraph" w:styleId="745" w:customStyle="1">
    <w:name w:val="Основной текст 31"/>
    <w:basedOn w:val="724"/>
    <w:pPr>
      <w:jc w:val="both"/>
    </w:pPr>
    <w:rPr>
      <w:rFonts w:ascii="Arial" w:hAnsi="Arial"/>
      <w:szCs w:val="20"/>
    </w:rPr>
  </w:style>
  <w:style w:type="paragraph" w:styleId="746" w:customStyle="1">
    <w:name w:val="Основной текст 21"/>
    <w:basedOn w:val="724"/>
    <w:pPr>
      <w:jc w:val="both"/>
    </w:pPr>
    <w:rPr>
      <w:rFonts w:ascii="Arial" w:hAnsi="Arial"/>
      <w:b/>
      <w:szCs w:val="20"/>
    </w:rPr>
  </w:style>
  <w:style w:type="paragraph" w:styleId="747">
    <w:name w:val="Body Text 2"/>
    <w:basedOn w:val="724"/>
    <w:link w:val="748"/>
    <w:pPr>
      <w:spacing w:after="120" w:line="480" w:lineRule="auto"/>
    </w:pPr>
  </w:style>
  <w:style w:type="character" w:styleId="748" w:customStyle="1">
    <w:name w:val="Основной текст 2 Знак"/>
    <w:link w:val="747"/>
    <w:rPr>
      <w:sz w:val="24"/>
      <w:szCs w:val="24"/>
    </w:rPr>
  </w:style>
  <w:style w:type="table" w:styleId="749">
    <w:name w:val="Table Grid"/>
    <w:basedOn w:val="72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50">
    <w:name w:val="Hyperlink"/>
    <w:rPr>
      <w:color w:val="0000ff"/>
      <w:u w:val="single"/>
    </w:rPr>
  </w:style>
  <w:style w:type="paragraph" w:styleId="751">
    <w:name w:val="List Paragraph"/>
    <w:basedOn w:val="724"/>
    <w:uiPriority w:val="34"/>
    <w:qFormat/>
    <w:pPr>
      <w:contextualSpacing/>
      <w:ind w:left="720"/>
    </w:pPr>
  </w:style>
  <w:style w:type="paragraph" w:styleId="752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753">
    <w:name w:val="Title"/>
    <w:basedOn w:val="724"/>
    <w:link w:val="754"/>
    <w:qFormat/>
    <w:pPr>
      <w:jc w:val="center"/>
    </w:pPr>
    <w:rPr>
      <w:b/>
      <w:szCs w:val="20"/>
    </w:rPr>
  </w:style>
  <w:style w:type="character" w:styleId="754" w:customStyle="1">
    <w:name w:val="Заголовок Знак"/>
    <w:link w:val="753"/>
    <w:rPr>
      <w:b/>
      <w:sz w:val="24"/>
    </w:rPr>
  </w:style>
  <w:style w:type="character" w:styleId="755" w:customStyle="1">
    <w:name w:val="Заголовок 3 Знак"/>
    <w:link w:val="727"/>
    <w:semiHidden/>
    <w:rPr>
      <w:rFonts w:ascii="Cambria" w:hAnsi="Cambria" w:eastAsia="Times New Roman" w:cs="Times New Roman"/>
      <w:b/>
      <w:bCs/>
      <w:sz w:val="26"/>
      <w:szCs w:val="26"/>
    </w:rPr>
  </w:style>
  <w:style w:type="paragraph" w:styleId="756">
    <w:name w:val="Body Text Indent 3"/>
    <w:basedOn w:val="724"/>
    <w:link w:val="757"/>
    <w:pPr>
      <w:ind w:left="283"/>
      <w:spacing w:after="120"/>
    </w:pPr>
    <w:rPr>
      <w:sz w:val="16"/>
      <w:szCs w:val="16"/>
    </w:rPr>
  </w:style>
  <w:style w:type="character" w:styleId="757" w:customStyle="1">
    <w:name w:val="Основной текст с отступом 3 Знак"/>
    <w:link w:val="756"/>
    <w:rPr>
      <w:sz w:val="16"/>
      <w:szCs w:val="16"/>
    </w:rPr>
  </w:style>
  <w:style w:type="paragraph" w:styleId="758">
    <w:name w:val="Body Text 3"/>
    <w:basedOn w:val="724"/>
    <w:link w:val="759"/>
    <w:uiPriority w:val="99"/>
    <w:pPr>
      <w:spacing w:after="120"/>
      <w:widowControl w:val="off"/>
    </w:pPr>
    <w:rPr>
      <w:sz w:val="16"/>
      <w:szCs w:val="16"/>
    </w:rPr>
  </w:style>
  <w:style w:type="character" w:styleId="759" w:customStyle="1">
    <w:name w:val="Основной текст 3 Знак"/>
    <w:link w:val="758"/>
    <w:uiPriority w:val="99"/>
    <w:rPr>
      <w:sz w:val="16"/>
      <w:szCs w:val="16"/>
    </w:rPr>
  </w:style>
  <w:style w:type="paragraph" w:styleId="760" w:customStyle="1">
    <w:name w:val="Heading"/>
    <w:pPr>
      <w:widowControl w:val="off"/>
    </w:pPr>
    <w:rPr>
      <w:rFonts w:ascii="Arial" w:hAnsi="Arial" w:cs="Arial"/>
      <w:b/>
      <w:bCs/>
      <w:sz w:val="22"/>
      <w:szCs w:val="22"/>
    </w:rPr>
  </w:style>
  <w:style w:type="paragraph" w:styleId="761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762">
    <w:name w:val="Normal (Web)"/>
    <w:basedOn w:val="724"/>
    <w:uiPriority w:val="99"/>
    <w:unhideWhenUsed/>
    <w:pPr>
      <w:spacing w:before="100" w:beforeAutospacing="1" w:after="100" w:afterAutospacing="1"/>
    </w:pPr>
  </w:style>
  <w:style w:type="paragraph" w:styleId="763">
    <w:name w:val="Balloon Text"/>
    <w:basedOn w:val="724"/>
    <w:link w:val="764"/>
    <w:rPr>
      <w:rFonts w:ascii="Tahoma" w:hAnsi="Tahoma" w:cs="Tahoma"/>
      <w:sz w:val="16"/>
      <w:szCs w:val="16"/>
    </w:rPr>
  </w:style>
  <w:style w:type="character" w:styleId="764" w:customStyle="1">
    <w:name w:val="Текст выноски Знак"/>
    <w:basedOn w:val="728"/>
    <w:link w:val="763"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1247F-9F5E-4A6F-BC34-B6764B659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r7-office/2025.3.2.1000</Application>
  <Company>OOO Kora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smekalina</dc:creator>
  <cp:lastModifiedBy>Леонтьева Наталья Александровна</cp:lastModifiedBy>
  <cp:revision>5</cp:revision>
  <dcterms:created xsi:type="dcterms:W3CDTF">2026-03-17T08:44:00Z</dcterms:created>
  <dcterms:modified xsi:type="dcterms:W3CDTF">2026-03-24T04:04:18Z</dcterms:modified>
</cp:coreProperties>
</file>